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49" w:rsidRDefault="009E3C49" w:rsidP="009E3C49">
      <w:pPr>
        <w:pStyle w:val="1"/>
        <w:shd w:val="clear" w:color="auto" w:fill="FFFFFF"/>
        <w:spacing w:before="0" w:after="120" w:line="540" w:lineRule="atLeast"/>
        <w:textAlignment w:val="baseline"/>
        <w:rPr>
          <w:rFonts w:ascii="Georgia" w:hAnsi="Georgia"/>
          <w:color w:val="0A0A0A"/>
          <w:sz w:val="42"/>
          <w:szCs w:val="42"/>
        </w:rPr>
      </w:pPr>
      <w:r>
        <w:rPr>
          <w:rFonts w:ascii="Georgia" w:hAnsi="Georgia"/>
          <w:color w:val="0A0A0A"/>
          <w:sz w:val="42"/>
          <w:szCs w:val="42"/>
        </w:rPr>
        <w:t>Обновлённый раздел «Охрана труда» в Трудовом кодексе. Что нас ждёт?</w:t>
      </w:r>
    </w:p>
    <w:p w:rsidR="009E3C49" w:rsidRPr="009E3C49" w:rsidRDefault="009E3C49" w:rsidP="009E3C4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2 июля 2021 года Президент РФ подписал закон от 02.07.2021 № 311-ФЗ «О внесении изменений в Трудовой кодекс Российской Федерации». Совет федерации одобрил новую редакцию 10 раздела ТК РФ.</w:t>
      </w:r>
    </w:p>
    <w:p w:rsidR="009E3C49" w:rsidRPr="009E3C49" w:rsidRDefault="009E3C49" w:rsidP="009E3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Изменения вступили</w:t>
      </w: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в силу </w:t>
      </w: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 1 марта 2022 года.</w:t>
      </w: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В своей статье расскажу, какие изменения нас ждут, и что нужно сделать уже сейчас.</w:t>
      </w:r>
    </w:p>
    <w:p w:rsidR="009E3C49" w:rsidRPr="009E3C49" w:rsidRDefault="009E3C49" w:rsidP="009E3C49">
      <w:pPr>
        <w:shd w:val="clear" w:color="auto" w:fill="FFFDD2"/>
        <w:spacing w:after="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 Основные новшества:</w:t>
      </w:r>
    </w:p>
    <w:p w:rsidR="009E3C49" w:rsidRPr="009E3C49" w:rsidRDefault="009E3C49" w:rsidP="009E3C49">
      <w:pPr>
        <w:numPr>
          <w:ilvl w:val="0"/>
          <w:numId w:val="1"/>
        </w:numPr>
        <w:shd w:val="clear" w:color="auto" w:fill="FFFDD2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Концептуально меняются подходы в области охраны труда.</w:t>
      </w:r>
    </w:p>
    <w:p w:rsidR="009E3C49" w:rsidRPr="009E3C49" w:rsidRDefault="009E3C49" w:rsidP="009E3C49">
      <w:pPr>
        <w:numPr>
          <w:ilvl w:val="0"/>
          <w:numId w:val="1"/>
        </w:numPr>
        <w:shd w:val="clear" w:color="auto" w:fill="FFFDD2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Приоритет дан профилактике.</w:t>
      </w:r>
    </w:p>
    <w:p w:rsidR="009E3C49" w:rsidRPr="009E3C49" w:rsidRDefault="009E3C49" w:rsidP="009E3C49">
      <w:pPr>
        <w:numPr>
          <w:ilvl w:val="0"/>
          <w:numId w:val="1"/>
        </w:numPr>
        <w:shd w:val="clear" w:color="auto" w:fill="FFFDD2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Вводятся новые гарантии для работников, а у работодателей появляются новые возможности.</w:t>
      </w:r>
    </w:p>
    <w:p w:rsidR="009E3C49" w:rsidRPr="009E3C49" w:rsidRDefault="009E3C49" w:rsidP="009E3C49">
      <w:pPr>
        <w:numPr>
          <w:ilvl w:val="0"/>
          <w:numId w:val="1"/>
        </w:numPr>
        <w:shd w:val="clear" w:color="auto" w:fill="FFFDD2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Введён новый термин «опасность».</w:t>
      </w:r>
    </w:p>
    <w:p w:rsidR="009E3C49" w:rsidRPr="009E3C49" w:rsidRDefault="009E3C49" w:rsidP="009E3C49">
      <w:pPr>
        <w:numPr>
          <w:ilvl w:val="0"/>
          <w:numId w:val="1"/>
        </w:numPr>
        <w:shd w:val="clear" w:color="auto" w:fill="FFFDD2"/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Закреплены принципы – предупреждение, профилактика опасностей и минимизация повреждения здоровья работников.</w:t>
      </w:r>
    </w:p>
    <w:p w:rsidR="009E3C49" w:rsidRPr="009E3C49" w:rsidRDefault="009E3C49" w:rsidP="009E3C49">
      <w:pPr>
        <w:shd w:val="clear" w:color="auto" w:fill="FFFFFF"/>
        <w:spacing w:after="0" w:line="48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olor w:val="0A0A0A"/>
          <w:sz w:val="36"/>
          <w:szCs w:val="36"/>
          <w:lang w:eastAsia="ru-RU"/>
        </w:rPr>
      </w:pPr>
      <w:r w:rsidRPr="009E3C49">
        <w:rPr>
          <w:rFonts w:ascii="Georgia" w:eastAsia="Times New Roman" w:hAnsi="Georgia" w:cs="Times New Roman"/>
          <w:b/>
          <w:bCs/>
          <w:color w:val="0A0A0A"/>
          <w:sz w:val="36"/>
          <w:szCs w:val="36"/>
          <w:lang w:eastAsia="ru-RU"/>
        </w:rPr>
        <w:t>Новые гарантии для работника</w:t>
      </w:r>
    </w:p>
    <w:p w:rsidR="009E3C49" w:rsidRPr="009E3C49" w:rsidRDefault="009E3C49" w:rsidP="009E3C49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Больше профилактических мер:</w:t>
      </w:r>
    </w:p>
    <w:p w:rsidR="009E3C49" w:rsidRPr="009E3C49" w:rsidRDefault="009E3C49" w:rsidP="009E3C49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выявление рисков;</w:t>
      </w:r>
    </w:p>
    <w:p w:rsidR="009E3C49" w:rsidRPr="009E3C49" w:rsidRDefault="009E3C49" w:rsidP="009E3C49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анализ и оценка условий труда;</w:t>
      </w:r>
    </w:p>
    <w:p w:rsidR="009E3C49" w:rsidRPr="009E3C49" w:rsidRDefault="009E3C49" w:rsidP="009E3C49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обеспечение средствами индивидуальной защиты (далее </w:t>
      </w:r>
      <w:proofErr w:type="gramStart"/>
      <w:r w:rsidRPr="009E3C4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СИЗ</w:t>
      </w:r>
      <w:proofErr w:type="gramEnd"/>
      <w:r w:rsidRPr="009E3C4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с учётом вредных факторов на конкретном рабочем месте;</w:t>
      </w:r>
    </w:p>
    <w:p w:rsidR="009E3C49" w:rsidRPr="009E3C49" w:rsidRDefault="009E3C49" w:rsidP="009E3C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учёт микротравм и рассмотрение обстоятельств и причин.</w:t>
      </w:r>
    </w:p>
    <w:p w:rsidR="009E3C49" w:rsidRPr="009E3C49" w:rsidRDefault="009E3C49" w:rsidP="009E3C49">
      <w:pPr>
        <w:shd w:val="clear" w:color="auto" w:fill="F4EFFF"/>
        <w:spacing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1. Выявление рисков, анализ и оценка условий труда.</w:t>
      </w:r>
    </w:p>
    <w:p w:rsidR="009E3C49" w:rsidRPr="009E3C49" w:rsidRDefault="009E3C49" w:rsidP="009E3C49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Будет добавлена новая обязанность работодателя - выявлять опасности и профессиональные риски, проводить их регулярный анализ и оценку. Также будут введены нормы по оценке профессиональных рисков (</w:t>
      </w:r>
      <w:proofErr w:type="spell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абз</w:t>
      </w:r>
      <w:proofErr w:type="spell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. 5, 7 ч. 3 ст. 214 новой редакции ТК). В дальнейшем Минтруд совместно с </w:t>
      </w:r>
      <w:proofErr w:type="spell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Роспотребнадзором</w:t>
      </w:r>
      <w:proofErr w:type="spell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утвердит рекомендации по выбору метода оценки рисков.</w:t>
      </w:r>
    </w:p>
    <w:p w:rsidR="009E3C49" w:rsidRPr="009E3C49" w:rsidRDefault="009E3C49" w:rsidP="009E3C49">
      <w:pPr>
        <w:shd w:val="clear" w:color="auto" w:fill="FFFDD2"/>
        <w:spacing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Обращаю ваше внимание, что с 1 марта 2022 года ни один технологический процесс нельзя будет запустить без проведения оценки профессиональных рисков. Риски могут быть допустимыми или минимальными. Даже в том случае, если риск признан допустимым, необходимо реализовать план мероприятий по снижению риска </w:t>
      </w:r>
      <w:proofErr w:type="gram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до</w:t>
      </w:r>
      <w:proofErr w:type="gram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минимального.</w:t>
      </w:r>
    </w:p>
    <w:p w:rsidR="009E3C49" w:rsidRPr="009E3C49" w:rsidRDefault="009E3C49" w:rsidP="009E3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lastRenderedPageBreak/>
        <w:t>Работодатель обязан </w:t>
      </w: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приостановить работу</w:t>
      </w: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, если на рабочих местах выявлены опасные условия труда. На время приостановки работ сохраняется место и средний заработок.</w:t>
      </w:r>
    </w:p>
    <w:p w:rsidR="009E3C49" w:rsidRPr="009E3C49" w:rsidRDefault="009E3C49" w:rsidP="009E3C49">
      <w:pPr>
        <w:shd w:val="clear" w:color="auto" w:fill="F4EFFF"/>
        <w:spacing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2. Обеспечение средствами индивидуальной защиты (далее </w:t>
      </w:r>
      <w:proofErr w:type="gramStart"/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СИЗ</w:t>
      </w:r>
      <w:proofErr w:type="gramEnd"/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) с учётом вредных факторов на конкретном рабочем месте.</w:t>
      </w:r>
    </w:p>
    <w:p w:rsidR="009E3C49" w:rsidRPr="009E3C49" w:rsidRDefault="009E3C49" w:rsidP="009E3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Единые типовые нормы бесплатной выдачи работникам </w:t>
      </w:r>
      <w:proofErr w:type="gram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СИЗ</w:t>
      </w:r>
      <w:proofErr w:type="gram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и специальной обуви также станут реальностью. Старыми нормами можно будет пользоваться до 31 декабря 2024 года, но </w:t>
      </w: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 1 января 2025 г.</w:t>
      </w: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– применять только единые нормы. </w:t>
      </w:r>
    </w:p>
    <w:p w:rsidR="009E3C49" w:rsidRPr="009E3C49" w:rsidRDefault="009E3C49" w:rsidP="009E3C49">
      <w:pPr>
        <w:shd w:val="clear" w:color="auto" w:fill="FFFDD2"/>
        <w:spacing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Поэтому нет необходимости прямо с 1 марта 2022 года переписывать нормы и карточки учёта выдачи </w:t>
      </w:r>
      <w:proofErr w:type="gram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СИЗ</w:t>
      </w:r>
      <w:proofErr w:type="gram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9E3C49" w:rsidRPr="009E3C49" w:rsidRDefault="009E3C49" w:rsidP="009E3C49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В соответствии с ч. 4 ст. 221 новой редакции ТК работодатели будут утверждать собственные нормы бесплатной выдачи </w:t>
      </w:r>
      <w:proofErr w:type="gram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СИЗ</w:t>
      </w:r>
      <w:proofErr w:type="gram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, руководствуясь едиными нормами, а также результатами СОУТ и процедуры оценки рисков. Также указано, что обучение работников пользованию СИЗ необходимо будет проводить наравне с инструктажами </w:t>
      </w:r>
      <w:proofErr w:type="gram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по</w:t>
      </w:r>
      <w:proofErr w:type="gram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gram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ОТ</w:t>
      </w:r>
      <w:proofErr w:type="gram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, обучением первой помощи и т.д.</w:t>
      </w:r>
    </w:p>
    <w:p w:rsidR="009E3C49" w:rsidRPr="009E3C49" w:rsidRDefault="009E3C49" w:rsidP="009E3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Если сотрудник не прошел обучение, то его нельзя будет допускать к работе. </w:t>
      </w:r>
      <w:proofErr w:type="gram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Если подчинённый не носит положенные ему СИЗ, то его нужно будет </w:t>
      </w: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отстранить от работы.</w:t>
      </w:r>
      <w:proofErr w:type="gramEnd"/>
    </w:p>
    <w:p w:rsidR="009E3C49" w:rsidRPr="009E3C49" w:rsidRDefault="009E3C49" w:rsidP="009E3C49">
      <w:pPr>
        <w:shd w:val="clear" w:color="auto" w:fill="FFFDD2"/>
        <w:spacing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Заработная плата в период отстранения от работы не сохраняется. Отказ работника носить СИЗ будет приравниваться к дисциплинарным правонарушениям.</w:t>
      </w:r>
    </w:p>
    <w:p w:rsidR="009E3C49" w:rsidRPr="009E3C49" w:rsidRDefault="009E3C49" w:rsidP="009E3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Если работодатель не обеспечил сотрудника средствами индивидуальной защиты, то он не вправе требовать выполнения работы от него. В таком случае подчинённому должны оформить </w:t>
      </w: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простой с оплатой по среднему заработку</w:t>
      </w: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(</w:t>
      </w:r>
      <w:proofErr w:type="gram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ч</w:t>
      </w:r>
      <w:proofErr w:type="gram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 6 ст. 216.1 новой редакции ТК РФ).</w:t>
      </w:r>
    </w:p>
    <w:p w:rsidR="009E3C49" w:rsidRPr="009E3C49" w:rsidRDefault="009E3C49" w:rsidP="009E3C49">
      <w:pPr>
        <w:shd w:val="clear" w:color="auto" w:fill="F4EFFF"/>
        <w:spacing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3. Учёт микротравм и рассмотрение обстоятельств и причин. </w:t>
      </w:r>
    </w:p>
    <w:p w:rsidR="009E3C49" w:rsidRPr="009E3C49" w:rsidRDefault="009E3C49" w:rsidP="009E3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Микротравмы</w:t>
      </w: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- это травмы, которые не влекут за собой проблемы со здоровьем или временную нетрудоспособность сотрудника. </w:t>
      </w:r>
    </w:p>
    <w:p w:rsidR="009E3C49" w:rsidRPr="009E3C49" w:rsidRDefault="009E3C49" w:rsidP="009E3C49">
      <w:pPr>
        <w:shd w:val="clear" w:color="auto" w:fill="FFFDD2"/>
        <w:spacing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Предполагается, что работодатель будет проводить учёт микротравм, а также расследовать причины их появления. </w:t>
      </w:r>
    </w:p>
    <w:p w:rsidR="009E3C49" w:rsidRPr="009E3C49" w:rsidRDefault="009E3C49" w:rsidP="009E3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Может выйти так, что там, где сотрудник получил микротравму, в следующий раз может произойти несчастный случай, который может повлечь за собой иные последствия. К примеру, если первый раз подчинённый просто споткнулся о порог и получил синяк, то в следующий раз он может получить травму в виде перелома. Из чего следует, что нужно проводить </w:t>
      </w: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расследование микротравм</w:t>
      </w: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, чтобы предотвратить несчастные случаи.</w:t>
      </w:r>
    </w:p>
    <w:p w:rsidR="009E3C49" w:rsidRPr="009E3C49" w:rsidRDefault="009E3C49" w:rsidP="009E3C49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Примером микротравмы является ссадина, порез, ушиб, ожог первой степени, попадание стружки в глаз при обработке сырья.</w:t>
      </w:r>
    </w:p>
    <w:p w:rsidR="009E3C49" w:rsidRPr="009E3C49" w:rsidRDefault="009E3C49" w:rsidP="009E3C49">
      <w:pPr>
        <w:shd w:val="clear" w:color="auto" w:fill="FFFFFF"/>
        <w:spacing w:after="0" w:line="48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olor w:val="0A0A0A"/>
          <w:sz w:val="36"/>
          <w:szCs w:val="36"/>
          <w:lang w:eastAsia="ru-RU"/>
        </w:rPr>
      </w:pPr>
      <w:r w:rsidRPr="009E3C49">
        <w:rPr>
          <w:rFonts w:ascii="Georgia" w:eastAsia="Times New Roman" w:hAnsi="Georgia" w:cs="Times New Roman"/>
          <w:b/>
          <w:bCs/>
          <w:color w:val="0A0A0A"/>
          <w:sz w:val="36"/>
          <w:szCs w:val="36"/>
          <w:lang w:eastAsia="ru-RU"/>
        </w:rPr>
        <w:lastRenderedPageBreak/>
        <w:t>Новые возможности у работодателей.</w:t>
      </w:r>
    </w:p>
    <w:p w:rsidR="009E3C49" w:rsidRPr="009E3C49" w:rsidRDefault="009E3C49" w:rsidP="009E3C49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В первую очередь это - электронный документооборот в области охраны труда. Ещё одна новая возможность – это контроль безопасности работ с помощью видео, аудио или иной фиксации.</w:t>
      </w:r>
    </w:p>
    <w:p w:rsidR="009E3C49" w:rsidRPr="009E3C49" w:rsidRDefault="009E3C49" w:rsidP="009E3C49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Дистанционный доступ к наблюдению за безопасным производством работ и к базам электронных документов в области охраны труда для надзорных органов.</w:t>
      </w:r>
    </w:p>
    <w:p w:rsidR="009E3C49" w:rsidRPr="009E3C49" w:rsidRDefault="009E3C49" w:rsidP="009E3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Будет разрешено проводить самостоятельную оценку соблюдения требований трудового законодательства. Если по итогам </w:t>
      </w:r>
      <w:proofErr w:type="spell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самообследования</w:t>
      </w:r>
      <w:proofErr w:type="spell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работодатель получит высокую оценку соблюдения обязательных требований, то он сможет получить декларацию соблюдения обязательных требований. Её нужно будет отправить в </w:t>
      </w:r>
      <w:proofErr w:type="spell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Роструд</w:t>
      </w:r>
      <w:proofErr w:type="spell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, который зарегистрирует и </w:t>
      </w:r>
      <w:proofErr w:type="gram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разместит декларацию</w:t>
      </w:r>
      <w:proofErr w:type="gram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на своём сайте. Она действует</w:t>
      </w:r>
      <w:r w:rsidRPr="009E3C49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 от одного до трёх лет</w:t>
      </w: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 В случае проверки и обнаружении несоответствий инспектором, декларация будет аннулирована.</w:t>
      </w:r>
    </w:p>
    <w:p w:rsidR="009E3C49" w:rsidRPr="009E3C49" w:rsidRDefault="009E3C49" w:rsidP="009E3C49">
      <w:pPr>
        <w:shd w:val="clear" w:color="auto" w:fill="FFFFFF"/>
        <w:spacing w:after="0" w:line="48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olor w:val="0A0A0A"/>
          <w:sz w:val="36"/>
          <w:szCs w:val="36"/>
          <w:lang w:eastAsia="ru-RU"/>
        </w:rPr>
      </w:pPr>
      <w:r w:rsidRPr="009E3C49">
        <w:rPr>
          <w:rFonts w:ascii="Georgia" w:eastAsia="Times New Roman" w:hAnsi="Georgia" w:cs="Times New Roman"/>
          <w:b/>
          <w:bCs/>
          <w:color w:val="0A0A0A"/>
          <w:sz w:val="36"/>
          <w:szCs w:val="36"/>
          <w:lang w:eastAsia="ru-RU"/>
        </w:rPr>
        <w:t>Что нужно сделать сейчас</w:t>
      </w:r>
    </w:p>
    <w:p w:rsidR="009E3C49" w:rsidRPr="009E3C49" w:rsidRDefault="009E3C49" w:rsidP="009E3C49">
      <w:pPr>
        <w:shd w:val="clear" w:color="auto" w:fill="FFFDD2"/>
        <w:spacing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Уже сейчас можно провести оценку рисков, тем более</w:t>
      </w:r>
      <w:proofErr w:type="gram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,</w:t>
      </w:r>
      <w:proofErr w:type="gram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что ГИТ уже начала штрафовать за её отсутствие.</w:t>
      </w:r>
    </w:p>
    <w:p w:rsidR="009E3C49" w:rsidRPr="009E3C49" w:rsidRDefault="009E3C49" w:rsidP="009E3C49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Рекомендую вам постепенно уменьшить количество рабочих мест с опасными условиями труда. Сделать это можно, например, закупив более безопасное современное оборудование.</w:t>
      </w:r>
    </w:p>
    <w:p w:rsidR="009E3C49" w:rsidRPr="009E3C49" w:rsidRDefault="009E3C49" w:rsidP="009E3C49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Вы можете уже сейчас ввести в организации регистрацию микротравм. Это поможет приучать сотрудников к мысли, что незначительные повреждения тоже опасны, и там, где в первый раз работник слегка ударился головой, во второй он может получить сотрясение мозга.</w:t>
      </w:r>
    </w:p>
    <w:p w:rsidR="009E3C49" w:rsidRPr="009E3C49" w:rsidRDefault="009E3C49" w:rsidP="009E3C49">
      <w:pPr>
        <w:shd w:val="clear" w:color="auto" w:fill="FFFFFF"/>
        <w:spacing w:after="0" w:line="48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olor w:val="0A0A0A"/>
          <w:sz w:val="36"/>
          <w:szCs w:val="36"/>
          <w:lang w:eastAsia="ru-RU"/>
        </w:rPr>
      </w:pPr>
      <w:r w:rsidRPr="009E3C49">
        <w:rPr>
          <w:rFonts w:ascii="Georgia" w:eastAsia="Times New Roman" w:hAnsi="Georgia" w:cs="Times New Roman"/>
          <w:b/>
          <w:bCs/>
          <w:color w:val="0A0A0A"/>
          <w:sz w:val="36"/>
          <w:szCs w:val="36"/>
          <w:lang w:eastAsia="ru-RU"/>
        </w:rPr>
        <w:t>Заключение</w:t>
      </w:r>
    </w:p>
    <w:p w:rsidR="009E3C49" w:rsidRPr="009E3C49" w:rsidRDefault="009E3C49" w:rsidP="009E3C49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Трудовой кодекс РФ в части охраны труда не менялся с момента своего вступления в силу. </w:t>
      </w:r>
      <w:proofErr w:type="gram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Конечно</w:t>
      </w:r>
      <w:proofErr w:type="gram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все уже давно ждали изменений. Многие предприятия уже провели оценку </w:t>
      </w:r>
      <w:proofErr w:type="spellStart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профрисков</w:t>
      </w:r>
      <w:proofErr w:type="spellEnd"/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, перешли на электронный документооборот, ведут учёт микротравм. Для этого они разработали локальные регламенты.</w:t>
      </w:r>
    </w:p>
    <w:p w:rsidR="009E3C49" w:rsidRPr="009E3C49" w:rsidRDefault="009E3C49" w:rsidP="009E3C49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9E3C4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Теперь необходимо дождаться вступления в силу нововведений. Тем, кто пока не приступил к работе в новых условиях, самое время изучить, что нового есть в 10 разделе ТК РФ.</w:t>
      </w:r>
    </w:p>
    <w:p w:rsidR="009E3C49" w:rsidRDefault="009E3C4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C49" w:rsidRDefault="005833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 новых основаниях отстранения от работы Федеральный закон №311-ФЗ от 02.07.2021 06.09.2021   Федеральный закон от 02.07.2021 г. № 311-ФЗ внес поправки в Трудовой кодекс, которые актуализировали раздел по охране труда и ввели новое основание для отстранения сотрудника от работы. Изменения вступают в силу с 1 марта 2022 года. Обо всем по порядку. Новое основание для отстранения от работы</w:t>
      </w:r>
      <w:r w:rsid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Трудовом кодексе прописана отдельная статья 76 «Отстранение от работы», по которой работников не допускают в работе. К таким основаниям относятся, в частности: появившегося на работе в состоянии алкогольного, наркотического или иного токсического опьянения; не прошедшего обучение и проверку знаний и навыков в области охраны труда; не прошедшего обязательный медицинский осмотр, а также обязательное психиатрическое. С 1 марта 2022 года работодатель обязан будет отстранить от работы работника, не применяющего выданные ему в установленном порядке средства индивидуальной защиты, применение которых является обязательным при выполнении работ с вредными и (или) опасными условиями труда, а также на работах, выполняемых в особых температурных условиях. Гарантии работникам, направляемым на медосмотр</w:t>
      </w:r>
      <w:r w:rsidR="009E3C49"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на время прохождения медицинского осмотра за работниками, обязанными проходить такой осмотр, сохраняется средний заработок по месту работы (ст. 185 ТК РФ). По новой редакции место работы (должность) и средний заработок по месту работы сохраняются за работником не только на время прохождения обязательных медосмотров, но и на время прохождения обязательного психиатрического освидетельствования. </w:t>
      </w:r>
    </w:p>
    <w:p w:rsidR="009E3C49" w:rsidRDefault="005833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что это? Новая редакция статьи 22 предоставляет работодателю право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Организация добровольно принимает решение о проведении внутреннего контроля. Раздел Х «Охрана труда» ТК РФ: что изменилось? Основная часть поправок Федерального закона от 02.07.2021 № 311-ФЗ посвящена разделу об охране труда. </w:t>
      </w:r>
    </w:p>
    <w:p w:rsidR="009E3C49" w:rsidRDefault="005833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    Новое понятие «Опасность». Опасность — потенциальный источник нанесения вреда, представляющий угрозу жизни и (или) здоровью работника в процессе трудовой деятельности (ст. 209 ТК РФ). Введена новая статья 209.1, устанавливающая принципы обеспечения безопасных условий труда: предупреждение и профилактика, минимизация повреждений здоровья. </w:t>
      </w:r>
    </w:p>
    <w:p w:rsidR="009E3C49" w:rsidRDefault="005833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      Расширили понятие «рабочее место». Это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 Общие требования к организации безопасного рабочего места устанавливаются федеральным органом исполнительной власти, осуществляющим функции по выработке и 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:rsidR="009E3C49" w:rsidRDefault="005833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      Поменяли название главы 34: вместо «Требования охраны труда» будет «Государственное управление охраной труда и требования охраны труда». Определяется, что такое </w:t>
      </w:r>
      <w:proofErr w:type="spellStart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госуправление</w:t>
      </w:r>
      <w:proofErr w:type="spellEnd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охраной труда, какие полномочия в этой сфере принадлежат Правительству РФ, федеральным и региональным органам власти в сфере охраны труда, закрепляется порядок </w:t>
      </w:r>
      <w:proofErr w:type="spellStart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>госэкспертизы</w:t>
      </w:r>
      <w:proofErr w:type="spellEnd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условий труда. Обратите внимание: переписали 34, 35 и 36 главы Трудового кодекса. Рассмотрим основные изменения и нововведения. Ранее по теме: </w:t>
      </w:r>
      <w:proofErr w:type="gramStart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 ли контролировать рабочее время с помощью ПО и видеокамер Права и обязанности работников и работодателей по охране труда с 2022 года Работа в опасных условиях запрещена Новая статья 214.1 обязывает работодателя приостанавливать работы на рабочих местах в случаях, если условия труда на рабочих местах по результатам СОУТ будут отнесены к опасному классу условий труда.</w:t>
      </w:r>
      <w:proofErr w:type="gramEnd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Работать нельзя до устранения оснований, ставших причиной установления опасного класса. Кроме того, работодатель обязан незамедлительно и любым доступным способом информировать работника о том, что условия труда на его рабочем месте по результатам СОУТ отнесены к опасному классу (новая ст. 216.2 ТК РФ). Возобновить работу можно только после того, как работодатель: выполнит мероприятия, предусмотренные планом; проведет внеплановую СОУТ; подтвердит отчетом, что условия труда больше не являются опасными. Обратите внимание: устранение оснований проводится на основе плана мероприятий, подготовленного работодателем с учетом мнения профсоюза. Копия такого плана мероприятий направляется в контролирующий орган. Электронный документооборот</w:t>
      </w:r>
      <w:r w:rsid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E3C49" w:rsidRDefault="005833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>В главе 35 Трудового кодекса определены обновленные права работодателей и работников. Теперь работодатель имеет право (ст. 214.2 ТК РФ): использовать в целях контроля за безопасностью производства работ приборы, устройства, оборудование и (или) комплексы (системы) приборов, устройств, оборудования, обеспечивающих дистанционную видео-, ауди</w:t>
      </w:r>
      <w:proofErr w:type="gramStart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иную фиксацию процессов производства работ, обеспечивать хранение </w:t>
      </w:r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полученной информации; вести электронный документооборот в области охраны труда; предоставлять дистанционный доступ к наблюдению за безопасным производством работ, а также к базам электронных документов работодателя в области охраны </w:t>
      </w:r>
      <w:proofErr w:type="gramStart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>труда</w:t>
      </w:r>
      <w:proofErr w:type="gramEnd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уполномоченным госорганам. Таким образом, контроль становится дистанционным. Профессиональные риски Работодателю нужно будет выявлять опасности, оценивать и снижать уровень профессиональных рисков (ст. 218 ТК РФ). Оценку профессиональных рисков необходимо проводить не только для уже действующих производственных процессов, но и перед вводом в эксплуатацию производственных объектов и вновь организованных рабочих мест. Рекомендации по выбору методов оценки уровней профессиональных рисков и по их снижению утвердят.​Безопасность труда работников</w:t>
      </w:r>
      <w:proofErr w:type="gramStart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proofErr w:type="gramEnd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аждый работодатель должен обеспечивать безопасность труда работников:  предупреждением и профилактикой опасностей; минимизацией урона, угрожающего здоровью персонала.  Поэтому работодателю нужно будет разработать комплекс мер, направленных на локализацию и ликвидацию возможных последствий их воздействия.  Новый учет микроповреждений Новой редакцией ст. 226 ТК РФ вводится учет и рассмотрение обстоятельств и причин, приведших к возникновению микроповреждений (микротравм) работников. Микроповреждения (микротравмы) – это ссадины, кровоподтеки, ушибы мягких тканей, поверхностные раны и другие повреждения, полученные работниками, не повлекшие расстройства здоровья или наступление временной нетрудоспособности. Работодатель самостоятельно осуществляет учет и рассмотрение обстоятельств и причин, приведших к возникновению микроповреждений (микротравм) работников. Минтруд России разработает Рекомендации по учету микроповреждений (микротравм) работников. </w:t>
      </w:r>
    </w:p>
    <w:p w:rsidR="009E3C49" w:rsidRDefault="005833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Единые типовые нормы бесплатной выдачи работникам СИЗ  Средства индивидуальной защиты (СИЗ)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др. Теперь вместо отраслевых норм выдачи СИЗ и смывающих средств, составленных с учетом должностей, занимаемых работниками, и работ, которые они выполняют, будут</w:t>
      </w:r>
      <w:proofErr w:type="gramEnd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единые типовые нормы (ст. 221 ТК РФ). Новые единые типовые нормы бесплатной выдачи </w:t>
      </w:r>
      <w:proofErr w:type="gramStart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>СИЗ</w:t>
      </w:r>
      <w:proofErr w:type="gramEnd"/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власти разработают, и они будут актуальны для всех отраслей. Работодатели должны «смотреть» на результаты СОУТ и оценки профессиональных рисков, а также учитывать мнение профсоюза. Обратите </w:t>
      </w:r>
      <w:r w:rsidRPr="009E3C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внимание: для старых отраслевых норм установлен переходный период. Они будут действовать до 31 декабря 2024 года.  О труде женщин Отдельно отметим о работе женщин. Труд женщин на работах, связанных с подъемом и перемещением вручную тяжестей, превышающих предельно допустимые нормы, сейчас запрещается. А согласно принятому закону будет только ограничиваться. Напомним, с 1 января 2021 года вступил в силу приказ Минтруда России от 18.07.2019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женщин». В нем сказано, что на определенных работах предполагается только ограничение на его применение.</w:t>
      </w:r>
    </w:p>
    <w:p w:rsidR="009E3C49" w:rsidRDefault="009E3C4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7855" w:rsidRPr="009E3C49" w:rsidRDefault="009E3C4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Председатель</w:t>
      </w:r>
      <w:r w:rsidR="00760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ППО, уполномоченный по охране труда: Самсонова Н.А.</w:t>
      </w:r>
      <w:r w:rsidR="0058333D" w:rsidRPr="009E3C49">
        <w:rPr>
          <w:rFonts w:ascii="Times New Roman" w:hAnsi="Times New Roman" w:cs="Times New Roman"/>
          <w:sz w:val="28"/>
          <w:szCs w:val="28"/>
        </w:rPr>
        <w:br/>
      </w:r>
    </w:p>
    <w:sectPr w:rsidR="00F87855" w:rsidRPr="009E3C49" w:rsidSect="00F8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30983"/>
    <w:multiLevelType w:val="multilevel"/>
    <w:tmpl w:val="2CD4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C4879"/>
    <w:multiLevelType w:val="multilevel"/>
    <w:tmpl w:val="392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33D"/>
    <w:rsid w:val="000A7512"/>
    <w:rsid w:val="002D55F2"/>
    <w:rsid w:val="0058333D"/>
    <w:rsid w:val="007606EA"/>
    <w:rsid w:val="00835334"/>
    <w:rsid w:val="009E3C49"/>
    <w:rsid w:val="00CF1535"/>
    <w:rsid w:val="00F8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55"/>
  </w:style>
  <w:style w:type="paragraph" w:styleId="1">
    <w:name w:val="heading 1"/>
    <w:basedOn w:val="a"/>
    <w:next w:val="a"/>
    <w:link w:val="10"/>
    <w:uiPriority w:val="9"/>
    <w:qFormat/>
    <w:rsid w:val="009E3C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E3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3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E3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E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3C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3C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410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4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1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8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016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54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71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362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68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2022-04-29T12:02:00Z</dcterms:created>
  <dcterms:modified xsi:type="dcterms:W3CDTF">2022-04-29T12:12:00Z</dcterms:modified>
</cp:coreProperties>
</file>